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D21882" w:rsidP="00D21882">
      <w:pPr>
        <w:jc w:val="center"/>
      </w:pPr>
      <w:r>
        <w:t>Zakończyliśmy epokę średniowiecza, wkraczamy w kolejny etap dziejów historii i literatury – RENESANS.</w:t>
      </w:r>
    </w:p>
    <w:p w:rsidR="00D21882" w:rsidRPr="00F233B0" w:rsidRDefault="00D21882" w:rsidP="00D21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B0">
        <w:rPr>
          <w:rFonts w:ascii="Times New Roman" w:hAnsi="Times New Roman" w:cs="Times New Roman"/>
          <w:b/>
          <w:sz w:val="28"/>
          <w:szCs w:val="28"/>
        </w:rPr>
        <w:t>Temat: Wiadomości wstępne o renesansie.</w:t>
      </w:r>
    </w:p>
    <w:p w:rsidR="00D21882" w:rsidRDefault="00053A44" w:rsidP="00D21882">
      <w:pPr>
        <w:jc w:val="center"/>
        <w:rPr>
          <w:sz w:val="20"/>
          <w:szCs w:val="20"/>
        </w:rPr>
      </w:pPr>
      <w:r>
        <w:rPr>
          <w:sz w:val="20"/>
          <w:szCs w:val="20"/>
        </w:rPr>
        <w:t>Zapoznaj się z wprowadzeniem do epoki renesansu w podręczniku</w:t>
      </w:r>
      <w:r w:rsidR="00F233B0">
        <w:rPr>
          <w:sz w:val="20"/>
          <w:szCs w:val="20"/>
        </w:rPr>
        <w:t xml:space="preserve">(nazwa epoki, reformacja, renesansowi humaniści, renesans w Polsce, hasła renesansu, sztuka </w:t>
      </w:r>
      <w:r w:rsidR="00CE18AE">
        <w:rPr>
          <w:sz w:val="20"/>
          <w:szCs w:val="20"/>
        </w:rPr>
        <w:t>i architektura</w:t>
      </w:r>
      <w:r w:rsidR="00F233B0">
        <w:rPr>
          <w:sz w:val="20"/>
          <w:szCs w:val="20"/>
        </w:rPr>
        <w:t>)</w:t>
      </w:r>
      <w:r w:rsidR="005B0985">
        <w:rPr>
          <w:sz w:val="20"/>
          <w:szCs w:val="20"/>
        </w:rPr>
        <w:t>.</w:t>
      </w:r>
      <w:bookmarkStart w:id="0" w:name="_GoBack"/>
      <w:bookmarkEnd w:id="0"/>
    </w:p>
    <w:p w:rsidR="00F233B0" w:rsidRDefault="00F233B0" w:rsidP="00D21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B0">
        <w:rPr>
          <w:rFonts w:ascii="Times New Roman" w:hAnsi="Times New Roman" w:cs="Times New Roman"/>
          <w:b/>
          <w:sz w:val="28"/>
          <w:szCs w:val="28"/>
        </w:rPr>
        <w:t>Temat: Koncepcja godności człowieka w poezji i sztuce renesansu.</w:t>
      </w:r>
    </w:p>
    <w:p w:rsidR="00EC64E6" w:rsidRPr="00EC64E6" w:rsidRDefault="00EC64E6" w:rsidP="00EC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Humanizm renesansowy</w:t>
      </w: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ruch </w:t>
      </w:r>
      <w:hyperlink r:id="rId6" w:tooltip="Filozofia renesansu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filozoficzny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tooltip="Kultur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kulturalny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8" w:tooltip="Moralność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moralny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powstały w </w:t>
      </w:r>
      <w:hyperlink r:id="rId9" w:tooltip="XV wiek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XV wieku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</w:t>
      </w:r>
      <w:hyperlink r:id="rId10" w:tooltip="Włochy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Włoszech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zarysowujący się już w </w:t>
      </w:r>
      <w:hyperlink r:id="rId11" w:tooltip="XIV wiek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XIV wieku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wielu aspektach kultury </w:t>
      </w:r>
      <w:hyperlink r:id="rId12" w:tooltip="Średniowiecze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średniowiecznej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zmierzający do odrodzenia znajomości literatury i języków klasycznych. Był głównym prądem intelektualnym epoki </w:t>
      </w:r>
      <w:hyperlink r:id="rId13" w:tooltip="Renesans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renesansu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Choć z humanizmu renesansowego wywodzi się wiele współczesnych postaw </w:t>
      </w:r>
      <w:hyperlink r:id="rId14" w:tooltip="Światopogląd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światopoglądowych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należy go utożsamiać z </w:t>
      </w:r>
      <w:hyperlink r:id="rId15" w:tooltip="Humanitaryzm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humanitaryzmem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ani współczesnymi postaciami </w:t>
      </w:r>
      <w:hyperlink r:id="rId16" w:tooltip="Humanizm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humanizmu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takimi jak obecne w </w:t>
      </w:r>
      <w:hyperlink r:id="rId17" w:tooltip="Egzystencjalizm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egzystencjalizmie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8" w:tooltip="Personalizm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personalizmie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64E6" w:rsidRPr="00EC64E6" w:rsidRDefault="00EC64E6" w:rsidP="00EC6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64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Geneza nazwy</w:t>
      </w:r>
    </w:p>
    <w:p w:rsidR="00EC64E6" w:rsidRPr="00EC64E6" w:rsidRDefault="00EC64E6" w:rsidP="00EC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humanizm</w:t>
      </w: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 w </w:t>
      </w:r>
      <w:hyperlink r:id="rId19" w:tooltip="XIX wiek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XIX wieku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kiedy niemiecki uczony Friedrich Immanuel </w:t>
      </w:r>
      <w:proofErr w:type="spellStart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>Niethammer</w:t>
      </w:r>
      <w:proofErr w:type="spellEnd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użył go jako określenia wykształcenia literackiego opartego na znajomości </w:t>
      </w:r>
      <w:hyperlink r:id="rId20" w:tooltip="Łacin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łaciny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21" w:tooltip="Język grecki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greki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literatury powstałej w tych językach, a także humanizmu włoskiego</w:t>
      </w:r>
      <w:hyperlink r:id="rId22" w:anchor="cite_note-Borowski1992-s71-73-1" w:history="1">
        <w:r w:rsidRPr="00EC64E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[1]</w:t>
        </w:r>
      </w:hyperlink>
      <w:hyperlink r:id="rId23" w:anchor="cite_note-Korolko2004-2" w:history="1">
        <w:r w:rsidRPr="00EC64E6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l-PL"/>
          </w:rPr>
          <w:t>[2]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Wywodzi się ono z </w:t>
      </w:r>
      <w:hyperlink r:id="rId24" w:tooltip="Rzym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rzymskiego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pojęcia „</w:t>
      </w:r>
      <w:proofErr w:type="spellStart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cultus</w:t>
      </w:r>
      <w:proofErr w:type="spellEnd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atque</w:t>
      </w:r>
      <w:proofErr w:type="spellEnd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humanitas</w:t>
      </w:r>
      <w:proofErr w:type="spellEnd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analizowanego przez </w:t>
      </w:r>
      <w:hyperlink r:id="rId25" w:tooltip="Cyceron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Cycerona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stał się patronem duchowym humanistów. </w:t>
      </w:r>
    </w:p>
    <w:p w:rsidR="00EC64E6" w:rsidRPr="00EC64E6" w:rsidRDefault="00EC64E6" w:rsidP="00EC64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C64E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Charakterystyka</w:t>
      </w:r>
    </w:p>
    <w:p w:rsidR="00EC64E6" w:rsidRPr="00EC64E6" w:rsidRDefault="00EC64E6" w:rsidP="00EC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Humanizm był najbardziej charakterystycznym nurtem renesansu, decydując o odrębności epoki wobec średniowiecza. Rozwinął się w XV i XVI w. we Włoszech, skąd jego wpływy rozprzestrzeniły się na całą Europę. Swój właściwy początek miał we </w:t>
      </w:r>
      <w:hyperlink r:id="rId26" w:tooltip="Florencj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Florencji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ostatnich dziesięcioleciach XIV wieku, np. w twórczości </w:t>
      </w:r>
      <w:hyperlink r:id="rId27" w:tooltip="Francesco Petrarc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Petrarki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64E6" w:rsidRPr="00EC64E6" w:rsidRDefault="00EC64E6" w:rsidP="00EC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Nurt ten miał dwie charakterystyczne cechy: fascynację kulturą starożytnej Grecji i Rzymu, oraz </w:t>
      </w:r>
      <w:hyperlink r:id="rId28" w:tooltip="Antropocentryzm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antropocentryzm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Silne przywiązanie do kultury antycznej, odróżnia z kolei renesansową postać humanizmu, od innych nurtów określanych tym mianem. Humanizm ożywił studia klasycznej </w:t>
      </w:r>
      <w:hyperlink r:id="rId29" w:tooltip="Łacin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łaciny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30" w:tooltip="Język grecki klasyczny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greki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spowodowało odnowę nauki i </w:t>
      </w:r>
      <w:hyperlink r:id="rId31" w:tooltip="Filozofia starożytn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filozofii starożytnej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klasycznej poezji i sztuki. Wypracował wzorzec „</w:t>
      </w:r>
      <w:hyperlink r:id="rId32" w:tooltip="Polihistor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człowieka renesansu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który swoją kreatywność rozwija w wielu różnych dziedzinach, osiągając w ten sposób pełnię człowieczeństwa. </w:t>
      </w:r>
    </w:p>
    <w:p w:rsidR="00EC64E6" w:rsidRPr="00EC64E6" w:rsidRDefault="00EC64E6" w:rsidP="00EC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Humanizm stawiał jednostkę w centrum zainteresowania, kładąc podstawy pod nowożytny </w:t>
      </w:r>
      <w:hyperlink r:id="rId33" w:tooltip="Indywidualizm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indywidualizm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Koncentrował uwagę na sprawach ludzkich, </w:t>
      </w:r>
      <w:hyperlink r:id="rId34" w:tooltip="Godność człowiek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godności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 i jego </w:t>
      </w:r>
      <w:hyperlink r:id="rId35" w:tooltip="Wolność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wolności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Propagował rozwój fizyczny, psychiczny i intelektualny oraz harmonijne współżycie w społeczeństwie, podkreślał możliwości ludzkiego rozumu, oraz wartość wiedzy o świecie i możliwość jej zdobycia. </w:t>
      </w:r>
    </w:p>
    <w:p w:rsidR="00EC64E6" w:rsidRPr="00EC64E6" w:rsidRDefault="00EC64E6" w:rsidP="00EC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Humanizm epoki odrodzenia swoim antropocentryzmem przeciwstawiał się niektórym tendencjom </w:t>
      </w:r>
      <w:hyperlink r:id="rId36" w:tooltip="Filozofia średniowieczn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średniowiecza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(szczególnie </w:t>
      </w:r>
      <w:hyperlink r:id="rId37" w:tooltip="Teocentryzm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teocentryzmowi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związku z czym nawiązywał do </w:t>
      </w: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idei </w:t>
      </w:r>
      <w:hyperlink r:id="rId38" w:tooltip="Starożytność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starożytności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Naczelne hasło humanizmu zaczerpnięte zostało z rzymskiego utworu komediopisarza </w:t>
      </w:r>
      <w:hyperlink r:id="rId39" w:tooltip="Terencjusz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Terencjusza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0" w:tooltip="II wiek p.n.e.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II w. p.n.e.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</w:t>
      </w:r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 siebie karząc</w:t>
      </w: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Samoudręczyciel</w:t>
      </w:r>
      <w:proofErr w:type="spellEnd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Hasłem humanizmu stała się maksyma Terencjusza: </w:t>
      </w:r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Człowiekiem jestem i nic, co ludzkie, nie jest mi obce</w:t>
      </w: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41" w:tooltip="Łacin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łac.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homo sum et nihil </w:t>
      </w:r>
      <w:proofErr w:type="spellStart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humani</w:t>
      </w:r>
      <w:proofErr w:type="spellEnd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a me </w:t>
      </w:r>
      <w:proofErr w:type="spellStart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alienum</w:t>
      </w:r>
      <w:proofErr w:type="spellEnd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esse</w:t>
      </w:r>
      <w:proofErr w:type="spellEnd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puto</w:t>
      </w:r>
      <w:proofErr w:type="spellEnd"/>
      <w:r w:rsidRPr="00EC64E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.</w:t>
      </w:r>
      <w:r w:rsidRPr="00EC64E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). </w:t>
      </w: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Popularne jest też stwierdzenie </w:t>
      </w:r>
      <w:hyperlink r:id="rId42" w:tooltip="Protagoras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Protagorasa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3" w:tooltip="Człowiek jest miarą wszechrzeczy" w:history="1">
        <w:r w:rsidRPr="00EC64E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Człowiek jest miarą wszechrzeczy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i zawarte w słynnej „Mowie o godności człowieka” Giovanniego Pico </w:t>
      </w:r>
      <w:proofErr w:type="spellStart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>della</w:t>
      </w:r>
      <w:proofErr w:type="spellEnd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Mirandoli słowa: „Człowiek jest kowalem swojego losu” (łac. Homo </w:t>
      </w:r>
      <w:proofErr w:type="spellStart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>fortunae</w:t>
      </w:r>
      <w:proofErr w:type="spellEnd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>suae</w:t>
      </w:r>
      <w:proofErr w:type="spellEnd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>ipse</w:t>
      </w:r>
      <w:proofErr w:type="spellEnd"/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faber). </w:t>
      </w:r>
    </w:p>
    <w:p w:rsidR="00EC64E6" w:rsidRDefault="00EC64E6" w:rsidP="00EC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Znanymi reprezentantami humanizmu renesansowego byli m.in. holenderski teolog </w:t>
      </w:r>
      <w:hyperlink r:id="rId44" w:tooltip="Erazm z Rotterdamu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Erazm z Rotterdamu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angielski autor (i święty kościoła katolickiego) </w:t>
      </w:r>
      <w:hyperlink r:id="rId45" w:tooltip="Tomasz More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Thomas </w:t>
        </w:r>
        <w:proofErr w:type="spellStart"/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More</w:t>
        </w:r>
        <w:proofErr w:type="spellEnd"/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francuski pisarz </w:t>
      </w:r>
      <w:hyperlink r:id="rId46" w:tooltip="François Rabelais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François </w:t>
        </w:r>
        <w:proofErr w:type="spellStart"/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Rabelais</w:t>
        </w:r>
        <w:proofErr w:type="spellEnd"/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włoski poeta </w:t>
      </w:r>
      <w:hyperlink r:id="rId47" w:tooltip="Francesco Petrarc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Petrarka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filozof </w:t>
      </w:r>
      <w:hyperlink r:id="rId48" w:tooltip="Giovanni Pico della Mirandola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Giovanni Pico </w:t>
        </w:r>
        <w:proofErr w:type="spellStart"/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della</w:t>
        </w:r>
        <w:proofErr w:type="spellEnd"/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Mirandola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</w:t>
      </w:r>
      <w:hyperlink r:id="rId49" w:tooltip="Leonardo da Vinci" w:history="1">
        <w:r w:rsidRPr="00EC64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Leonardo da Vinci</w:t>
        </w:r>
      </w:hyperlink>
      <w:r w:rsidRPr="00EC6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C64E6" w:rsidRPr="00EC64E6" w:rsidRDefault="00EC64E6" w:rsidP="00EC64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64E6">
        <w:rPr>
          <w:rFonts w:ascii="Times New Roman" w:eastAsia="Times New Roman" w:hAnsi="Times New Roman" w:cs="Times New Roman"/>
          <w:sz w:val="16"/>
          <w:szCs w:val="16"/>
          <w:lang w:eastAsia="pl-PL"/>
        </w:rPr>
        <w:t>Źródło: https://pl.wikipedia.org/wiki/Humanizm_renesansowy</w:t>
      </w:r>
    </w:p>
    <w:p w:rsidR="00EC64E6" w:rsidRPr="00EC64E6" w:rsidRDefault="00EC64E6" w:rsidP="00EC64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E6">
        <w:rPr>
          <w:rFonts w:ascii="Times New Roman" w:hAnsi="Times New Roman" w:cs="Times New Roman"/>
          <w:sz w:val="24"/>
          <w:szCs w:val="24"/>
        </w:rPr>
        <w:t xml:space="preserve">Przeczytaj w podręczniku rozdz. Człowiek renesansu oraz „Mowę o godności człowieka”(fragmenty) Giovanniego Pico </w:t>
      </w:r>
      <w:proofErr w:type="spellStart"/>
      <w:r w:rsidRPr="00EC64E6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EC64E6">
        <w:rPr>
          <w:rFonts w:ascii="Times New Roman" w:hAnsi="Times New Roman" w:cs="Times New Roman"/>
          <w:sz w:val="24"/>
          <w:szCs w:val="24"/>
        </w:rPr>
        <w:t xml:space="preserve"> Mirandoli. </w:t>
      </w:r>
    </w:p>
    <w:p w:rsidR="00EC64E6" w:rsidRPr="00EC64E6" w:rsidRDefault="00EC64E6" w:rsidP="00EC64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E6">
        <w:rPr>
          <w:rFonts w:ascii="Times New Roman" w:hAnsi="Times New Roman" w:cs="Times New Roman"/>
          <w:sz w:val="24"/>
          <w:szCs w:val="24"/>
        </w:rPr>
        <w:t>Do czego filozof porównuje świat? Jaką rolę wyznacza Bogu, a jaką człowiekowi?</w:t>
      </w:r>
    </w:p>
    <w:p w:rsidR="00EC64E6" w:rsidRPr="00EC64E6" w:rsidRDefault="00EC64E6" w:rsidP="00EC64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E6">
        <w:rPr>
          <w:rFonts w:ascii="Times New Roman" w:hAnsi="Times New Roman" w:cs="Times New Roman"/>
          <w:sz w:val="24"/>
          <w:szCs w:val="24"/>
        </w:rPr>
        <w:t>Na czym polega według Mirandoli godność ludzka?</w:t>
      </w:r>
    </w:p>
    <w:p w:rsidR="00EC64E6" w:rsidRPr="00EC64E6" w:rsidRDefault="00EC64E6" w:rsidP="00EC64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E6">
        <w:rPr>
          <w:rFonts w:ascii="Times New Roman" w:hAnsi="Times New Roman" w:cs="Times New Roman"/>
          <w:sz w:val="24"/>
          <w:szCs w:val="24"/>
        </w:rPr>
        <w:t xml:space="preserve">Przeczytaj </w:t>
      </w:r>
      <w:r w:rsidRPr="00EC64E6">
        <w:rPr>
          <w:rFonts w:ascii="Times New Roman" w:hAnsi="Times New Roman" w:cs="Times New Roman"/>
          <w:i/>
          <w:sz w:val="24"/>
          <w:szCs w:val="24"/>
        </w:rPr>
        <w:t>„Z Pieśni”</w:t>
      </w:r>
      <w:r w:rsidRPr="00EC64E6">
        <w:rPr>
          <w:rFonts w:ascii="Times New Roman" w:hAnsi="Times New Roman" w:cs="Times New Roman"/>
          <w:sz w:val="24"/>
          <w:szCs w:val="24"/>
        </w:rPr>
        <w:t xml:space="preserve"> Jana Kochanowskiego  </w:t>
      </w:r>
      <w:r w:rsidRPr="00EC64E6">
        <w:rPr>
          <w:rFonts w:ascii="Times New Roman" w:hAnsi="Times New Roman" w:cs="Times New Roman"/>
          <w:i/>
          <w:sz w:val="24"/>
          <w:szCs w:val="24"/>
        </w:rPr>
        <w:t>Pieśń  XIX</w:t>
      </w:r>
      <w:r w:rsidRPr="00EC64E6">
        <w:rPr>
          <w:rFonts w:ascii="Times New Roman" w:hAnsi="Times New Roman" w:cs="Times New Roman"/>
          <w:sz w:val="24"/>
          <w:szCs w:val="24"/>
        </w:rPr>
        <w:t>.</w:t>
      </w:r>
    </w:p>
    <w:p w:rsidR="00EC64E6" w:rsidRPr="00EC64E6" w:rsidRDefault="00EC64E6" w:rsidP="00EC64E6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64E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Scharakteryzuj koncepcję człowieka zawartą w </w:t>
      </w:r>
      <w:r w:rsidRPr="00EC64E6">
        <w:rPr>
          <w:rStyle w:val="Pogrubienie"/>
          <w:rFonts w:ascii="Times New Roman" w:hAnsi="Times New Roman" w:cs="Times New Roman"/>
          <w:b w:val="0"/>
          <w:i/>
          <w:color w:val="000000"/>
          <w:sz w:val="24"/>
          <w:szCs w:val="24"/>
        </w:rPr>
        <w:t>Pieśni XIX</w:t>
      </w:r>
      <w:r w:rsidRPr="00EC64E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 Czy wszyscy ludzie, zdaniem Kochanowskiego zasługują na to zaszczytne miano ?</w:t>
      </w:r>
    </w:p>
    <w:p w:rsidR="00EC64E6" w:rsidRPr="00EC64E6" w:rsidRDefault="00EC64E6" w:rsidP="00EC64E6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64E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Na czym polega, według czarnoleskiego poety, godność ludzka ? Wyjaśnij sformułowanie ,, przeto chciejmy wziąć przed się myśli godne siebie ”.</w:t>
      </w:r>
    </w:p>
    <w:p w:rsidR="00EC64E6" w:rsidRPr="00EC64E6" w:rsidRDefault="00EC64E6" w:rsidP="00EC64E6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64E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O czym, zdaniem poety, powinien pamiętać każdy, kto dąży do sukcesu i sławy ?</w:t>
      </w:r>
    </w:p>
    <w:p w:rsidR="00EC64E6" w:rsidRPr="00EC64E6" w:rsidRDefault="00EC64E6" w:rsidP="00EC64E6">
      <w:pPr>
        <w:pStyle w:val="Akapitzlist"/>
        <w:numPr>
          <w:ilvl w:val="0"/>
          <w:numId w:val="3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C64E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Wymień wartości, które poeta ceni szczególnie.</w:t>
      </w:r>
    </w:p>
    <w:p w:rsidR="00EC64E6" w:rsidRPr="00EC64E6" w:rsidRDefault="00EC64E6" w:rsidP="00EC64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E6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Dlaczego warto dobrze wykorzystywać swoje talenty ?</w:t>
      </w:r>
    </w:p>
    <w:p w:rsidR="00EC64E6" w:rsidRPr="00EC64E6" w:rsidRDefault="00EC64E6" w:rsidP="00EC64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A44" w:rsidRDefault="00053A44" w:rsidP="00D21882">
      <w:pPr>
        <w:jc w:val="center"/>
      </w:pPr>
    </w:p>
    <w:p w:rsidR="00D21882" w:rsidRDefault="00D21882"/>
    <w:sectPr w:rsidR="00D2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72F"/>
    <w:multiLevelType w:val="hybridMultilevel"/>
    <w:tmpl w:val="2A1C0118"/>
    <w:lvl w:ilvl="0" w:tplc="8BFCC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F6D95"/>
    <w:multiLevelType w:val="hybridMultilevel"/>
    <w:tmpl w:val="9B405AF4"/>
    <w:lvl w:ilvl="0" w:tplc="3E48C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5B1390"/>
    <w:multiLevelType w:val="hybridMultilevel"/>
    <w:tmpl w:val="4428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A6"/>
    <w:rsid w:val="00053A44"/>
    <w:rsid w:val="003632F5"/>
    <w:rsid w:val="005B0985"/>
    <w:rsid w:val="008F32A6"/>
    <w:rsid w:val="009C5E5F"/>
    <w:rsid w:val="00CE18AE"/>
    <w:rsid w:val="00D21882"/>
    <w:rsid w:val="00EA22AE"/>
    <w:rsid w:val="00EC64E6"/>
    <w:rsid w:val="00F233B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4E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6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4E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Renesans" TargetMode="External"/><Relationship Id="rId18" Type="http://schemas.openxmlformats.org/officeDocument/2006/relationships/hyperlink" Target="https://pl.wikipedia.org/wiki/Personalizm" TargetMode="External"/><Relationship Id="rId26" Type="http://schemas.openxmlformats.org/officeDocument/2006/relationships/hyperlink" Target="https://pl.wikipedia.org/wiki/Florencja" TargetMode="External"/><Relationship Id="rId39" Type="http://schemas.openxmlformats.org/officeDocument/2006/relationships/hyperlink" Target="https://pl.wikipedia.org/wiki/Terencjus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.wikipedia.org/wiki/J%C4%99zyk_grecki" TargetMode="External"/><Relationship Id="rId34" Type="http://schemas.openxmlformats.org/officeDocument/2006/relationships/hyperlink" Target="https://pl.wikipedia.org/wiki/Godno%C5%9B%C4%87_cz%C5%82owieka" TargetMode="External"/><Relationship Id="rId42" Type="http://schemas.openxmlformats.org/officeDocument/2006/relationships/hyperlink" Target="https://pl.wikipedia.org/wiki/Protagoras" TargetMode="External"/><Relationship Id="rId47" Type="http://schemas.openxmlformats.org/officeDocument/2006/relationships/hyperlink" Target="https://pl.wikipedia.org/wiki/Francesco_Petrarc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l.wikipedia.org/wiki/Kultura" TargetMode="External"/><Relationship Id="rId12" Type="http://schemas.openxmlformats.org/officeDocument/2006/relationships/hyperlink" Target="https://pl.wikipedia.org/wiki/%C5%9Aredniowiecze" TargetMode="External"/><Relationship Id="rId17" Type="http://schemas.openxmlformats.org/officeDocument/2006/relationships/hyperlink" Target="https://pl.wikipedia.org/wiki/Egzystencjalizm" TargetMode="External"/><Relationship Id="rId25" Type="http://schemas.openxmlformats.org/officeDocument/2006/relationships/hyperlink" Target="https://pl.wikipedia.org/wiki/Cyceron" TargetMode="External"/><Relationship Id="rId33" Type="http://schemas.openxmlformats.org/officeDocument/2006/relationships/hyperlink" Target="https://pl.wikipedia.org/wiki/Indywidualizm" TargetMode="External"/><Relationship Id="rId38" Type="http://schemas.openxmlformats.org/officeDocument/2006/relationships/hyperlink" Target="https://pl.wikipedia.org/wiki/Staro%C5%BCytno%C5%9B%C4%87" TargetMode="External"/><Relationship Id="rId46" Type="http://schemas.openxmlformats.org/officeDocument/2006/relationships/hyperlink" Target="https://pl.wikipedia.org/wiki/Fran%C3%A7ois_Rabela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Humanizm" TargetMode="External"/><Relationship Id="rId20" Type="http://schemas.openxmlformats.org/officeDocument/2006/relationships/hyperlink" Target="https://pl.wikipedia.org/wiki/%C5%81acina" TargetMode="External"/><Relationship Id="rId29" Type="http://schemas.openxmlformats.org/officeDocument/2006/relationships/hyperlink" Target="https://pl.wikipedia.org/wiki/%C5%81acina" TargetMode="External"/><Relationship Id="rId41" Type="http://schemas.openxmlformats.org/officeDocument/2006/relationships/hyperlink" Target="https://pl.wikipedia.org/wiki/%C5%81ac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Filozofia_renesansu" TargetMode="External"/><Relationship Id="rId11" Type="http://schemas.openxmlformats.org/officeDocument/2006/relationships/hyperlink" Target="https://pl.wikipedia.org/wiki/XIV_wiek" TargetMode="External"/><Relationship Id="rId24" Type="http://schemas.openxmlformats.org/officeDocument/2006/relationships/hyperlink" Target="https://pl.wikipedia.org/wiki/Rzym" TargetMode="External"/><Relationship Id="rId32" Type="http://schemas.openxmlformats.org/officeDocument/2006/relationships/hyperlink" Target="https://pl.wikipedia.org/wiki/Polihistor" TargetMode="External"/><Relationship Id="rId37" Type="http://schemas.openxmlformats.org/officeDocument/2006/relationships/hyperlink" Target="https://pl.wikipedia.org/wiki/Teocentryzm" TargetMode="External"/><Relationship Id="rId40" Type="http://schemas.openxmlformats.org/officeDocument/2006/relationships/hyperlink" Target="https://pl.wikipedia.org/wiki/II_wiek_p.n.e." TargetMode="External"/><Relationship Id="rId45" Type="http://schemas.openxmlformats.org/officeDocument/2006/relationships/hyperlink" Target="https://pl.wikipedia.org/wiki/Tomasz_M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Humanitaryzm" TargetMode="External"/><Relationship Id="rId23" Type="http://schemas.openxmlformats.org/officeDocument/2006/relationships/hyperlink" Target="https://pl.wikipedia.org/wiki/Humanizm_renesansowy" TargetMode="External"/><Relationship Id="rId28" Type="http://schemas.openxmlformats.org/officeDocument/2006/relationships/hyperlink" Target="https://pl.wikipedia.org/wiki/Antropocentryzm" TargetMode="External"/><Relationship Id="rId36" Type="http://schemas.openxmlformats.org/officeDocument/2006/relationships/hyperlink" Target="https://pl.wikipedia.org/wiki/Filozofia_%C5%9Bredniowieczna" TargetMode="External"/><Relationship Id="rId49" Type="http://schemas.openxmlformats.org/officeDocument/2006/relationships/hyperlink" Target="https://pl.wikipedia.org/wiki/Leonardo_da_Vinci" TargetMode="External"/><Relationship Id="rId10" Type="http://schemas.openxmlformats.org/officeDocument/2006/relationships/hyperlink" Target="https://pl.wikipedia.org/wiki/W%C5%82ochy" TargetMode="External"/><Relationship Id="rId19" Type="http://schemas.openxmlformats.org/officeDocument/2006/relationships/hyperlink" Target="https://pl.wikipedia.org/wiki/XIX_wiek" TargetMode="External"/><Relationship Id="rId31" Type="http://schemas.openxmlformats.org/officeDocument/2006/relationships/hyperlink" Target="https://pl.wikipedia.org/wiki/Filozofia_staro%C5%BCytna" TargetMode="External"/><Relationship Id="rId44" Type="http://schemas.openxmlformats.org/officeDocument/2006/relationships/hyperlink" Target="https://pl.wikipedia.org/wiki/Erazm_z_Rotterda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XV_wiek" TargetMode="External"/><Relationship Id="rId14" Type="http://schemas.openxmlformats.org/officeDocument/2006/relationships/hyperlink" Target="https://pl.wikipedia.org/wiki/%C5%9Awiatopogl%C4%85d" TargetMode="External"/><Relationship Id="rId22" Type="http://schemas.openxmlformats.org/officeDocument/2006/relationships/hyperlink" Target="https://pl.wikipedia.org/wiki/Humanizm_renesansowy" TargetMode="External"/><Relationship Id="rId27" Type="http://schemas.openxmlformats.org/officeDocument/2006/relationships/hyperlink" Target="https://pl.wikipedia.org/wiki/Francesco_Petrarca" TargetMode="External"/><Relationship Id="rId30" Type="http://schemas.openxmlformats.org/officeDocument/2006/relationships/hyperlink" Target="https://pl.wikipedia.org/wiki/J%C4%99zyk_grecki_klasyczny" TargetMode="External"/><Relationship Id="rId35" Type="http://schemas.openxmlformats.org/officeDocument/2006/relationships/hyperlink" Target="https://pl.wikipedia.org/wiki/Wolno%C5%9B%C4%87" TargetMode="External"/><Relationship Id="rId43" Type="http://schemas.openxmlformats.org/officeDocument/2006/relationships/hyperlink" Target="https://pl.wikipedia.org/wiki/Cz%C5%82owiek_jest_miar%C4%85_wszechrzeczy" TargetMode="External"/><Relationship Id="rId48" Type="http://schemas.openxmlformats.org/officeDocument/2006/relationships/hyperlink" Target="https://pl.wikipedia.org/wiki/Giovanni_Pico_della_Mirandola" TargetMode="External"/><Relationship Id="rId8" Type="http://schemas.openxmlformats.org/officeDocument/2006/relationships/hyperlink" Target="https://pl.wikipedia.org/wiki/Moralno%C5%9B%C4%8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2020-05-10T18:37:00Z</dcterms:created>
  <dcterms:modified xsi:type="dcterms:W3CDTF">2020-05-11T09:29:00Z</dcterms:modified>
</cp:coreProperties>
</file>