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AA5" w:rsidRDefault="000A4AA5" w:rsidP="000A4AA5">
      <w:pPr>
        <w:rPr>
          <w:rFonts w:cstheme="minorHAnsi"/>
        </w:rPr>
      </w:pPr>
      <w:r w:rsidRPr="000A4AA5">
        <w:rPr>
          <w:rFonts w:cstheme="minorHAnsi"/>
        </w:rPr>
        <w:t>Temat: Czym są prawa człowieka</w:t>
      </w:r>
    </w:p>
    <w:p w:rsidR="000A4AA5" w:rsidRPr="000A4AA5" w:rsidRDefault="000A4AA5" w:rsidP="000A4AA5">
      <w:pPr>
        <w:rPr>
          <w:rFonts w:cstheme="minorHAnsi"/>
        </w:rPr>
      </w:pPr>
      <w:r>
        <w:rPr>
          <w:rFonts w:cstheme="minorHAnsi"/>
        </w:rPr>
        <w:t xml:space="preserve">Na końcu tematu znajdują się ćwiczenia do tego tematu. Proszę </w:t>
      </w:r>
      <w:r w:rsidR="000E5962">
        <w:rPr>
          <w:rFonts w:cstheme="minorHAnsi"/>
        </w:rPr>
        <w:t xml:space="preserve">je wykonać i wykonane </w:t>
      </w:r>
      <w:bookmarkStart w:id="0" w:name="_GoBack"/>
      <w:bookmarkEnd w:id="0"/>
      <w:r>
        <w:rPr>
          <w:rFonts w:cstheme="minorHAnsi"/>
        </w:rPr>
        <w:t xml:space="preserve">wysłać </w:t>
      </w:r>
      <w:r w:rsidR="000E5962">
        <w:rPr>
          <w:rFonts w:cstheme="minorHAnsi"/>
        </w:rPr>
        <w:t>na adres: eugeniadabrowska2@wp.pl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Prawa człowieka są to uprawnienia przysługujące każdej osobie od urodzenia aż do śmierci, to </w:t>
      </w:r>
      <w:r w:rsidRPr="000A4AA5">
        <w:rPr>
          <w:rFonts w:cstheme="minorHAnsi"/>
          <w:iCs/>
        </w:rPr>
        <w:t>powszechne normy moralne o charakterze podstawowym, przynależne każdej jednostce w jej kontaktach z państwem</w:t>
      </w:r>
      <w:r w:rsidRPr="000A4AA5">
        <w:rPr>
          <w:rFonts w:cstheme="minorHAnsi"/>
        </w:rPr>
        <w:t>.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Prawa człowieka to zespół praw przysługujących człowiekowi bezwzględnie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Źródłem praw człowieka jest </w:t>
      </w:r>
      <w:r w:rsidRPr="000A4AA5">
        <w:rPr>
          <w:rFonts w:cstheme="minorHAnsi"/>
          <w:iCs/>
        </w:rPr>
        <w:t>godność</w:t>
      </w:r>
      <w:r w:rsidRPr="000A4AA5">
        <w:rPr>
          <w:rFonts w:cstheme="minorHAnsi"/>
        </w:rPr>
        <w:t xml:space="preserve"> ludzka.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Cechy praw człowieka: powszechny, przyrodzony, niezbywalny, naturalny i niepodzielny.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7375"/>
      </w:tblGrid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2242"/>
              <w:gridCol w:w="5093"/>
            </w:tblGrid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  <w:i/>
                      <w:iCs/>
                    </w:rPr>
                    <w:t>Charakter praw i wolności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  <w:i/>
                      <w:iCs/>
                    </w:rPr>
                    <w:t>Znaczenie</w:t>
                  </w:r>
                </w:p>
              </w:tc>
            </w:tr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Powszechny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przysługują każdemu człowiekowi niezależnie od rasy, płci, przynależności do danej grupy społecznej, statusu majątkowego</w:t>
                  </w:r>
                </w:p>
              </w:tc>
            </w:tr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Przyrodzony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przysługują każdemu od chwili urodzenia, nie wynikają z woli państwa, a wywodzone są z istoty człowieczeństwa; państwo ich nie nadaje, a jedynie potwierdza</w:t>
                  </w:r>
                </w:p>
              </w:tc>
            </w:tr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Niezbywalny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przypisane są do każdej jednostki ludzkiej i nie można się ich zrzec</w:t>
                  </w:r>
                </w:p>
              </w:tc>
            </w:tr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Niepodzielny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wszystkie kategorie i generacje praw stanowią integralną i współzależną całość</w:t>
                  </w:r>
                </w:p>
              </w:tc>
            </w:tr>
            <w:tr w:rsidR="000A4AA5" w:rsidRPr="000A4AA5" w:rsidTr="00380789">
              <w:tc>
                <w:tcPr>
                  <w:tcW w:w="2242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Naturalny</w:t>
                  </w:r>
                </w:p>
              </w:tc>
              <w:tc>
                <w:tcPr>
                  <w:tcW w:w="5093" w:type="dxa"/>
                </w:tcPr>
                <w:p w:rsidR="000A4AA5" w:rsidRPr="000A4AA5" w:rsidRDefault="000A4AA5" w:rsidP="00380789">
                  <w:pPr>
                    <w:rPr>
                      <w:rFonts w:cstheme="minorHAnsi"/>
                    </w:rPr>
                  </w:pPr>
                  <w:r w:rsidRPr="000A4AA5">
                    <w:rPr>
                      <w:rFonts w:cstheme="minorHAnsi"/>
                    </w:rPr>
                    <w:t>wynikają z samej istoty człowieczeństwa – mamy je, ponieważ jesteśmy ludźmi</w:t>
                  </w:r>
                </w:p>
              </w:tc>
            </w:tr>
          </w:tbl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A4AA5" w:rsidRPr="000A4AA5" w:rsidTr="00380789"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0A4AA5" w:rsidRPr="000A4AA5" w:rsidRDefault="000A4AA5" w:rsidP="00380789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A4AA5" w:rsidRPr="000A4AA5" w:rsidRDefault="000A4AA5" w:rsidP="000A4AA5">
      <w:pPr>
        <w:spacing w:after="0" w:line="240" w:lineRule="auto"/>
        <w:rPr>
          <w:rFonts w:cstheme="minorHAnsi"/>
          <w:b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b/>
        </w:rPr>
      </w:pPr>
      <w:r w:rsidRPr="000A4AA5">
        <w:rPr>
          <w:rFonts w:cstheme="minorHAnsi"/>
          <w:b/>
        </w:rPr>
        <w:t>Dokumenty historyczne dotyczące praw człowieka: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- Wielka Karta Swobód (</w:t>
      </w:r>
      <w:proofErr w:type="spellStart"/>
      <w:r w:rsidRPr="000A4AA5">
        <w:rPr>
          <w:rFonts w:cstheme="minorHAnsi"/>
          <w:i/>
          <w:iCs/>
        </w:rPr>
        <w:t>Magna</w:t>
      </w:r>
      <w:proofErr w:type="spellEnd"/>
      <w:r w:rsidRPr="000A4AA5">
        <w:rPr>
          <w:rFonts w:cstheme="minorHAnsi"/>
          <w:i/>
          <w:iCs/>
        </w:rPr>
        <w:t xml:space="preserve"> Charta Libertatum</w:t>
      </w:r>
      <w:r w:rsidRPr="000A4AA5">
        <w:rPr>
          <w:rFonts w:cstheme="minorHAnsi"/>
        </w:rPr>
        <w:t>) z 1215 r. - Anglia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- </w:t>
      </w:r>
      <w:r w:rsidRPr="000A4AA5">
        <w:rPr>
          <w:rFonts w:cstheme="minorHAnsi"/>
          <w:iCs/>
        </w:rPr>
        <w:t>Deklaracja praw człowieka i obywatela</w:t>
      </w:r>
      <w:r w:rsidRPr="000A4AA5">
        <w:rPr>
          <w:rFonts w:cstheme="minorHAnsi"/>
        </w:rPr>
        <w:t xml:space="preserve"> z 1789 r. – Francja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- Deklaracja niepodległości Stanów Zjednoczonych (4.07.1776)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b/>
        </w:rPr>
      </w:pPr>
      <w:r w:rsidRPr="000A4AA5">
        <w:rPr>
          <w:rFonts w:cstheme="minorHAnsi"/>
          <w:b/>
        </w:rPr>
        <w:t>Dokumenty o charakterze międzynarodowym dotyczące praw człowieka: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- Karta Narodów Zjednoczonych – fundament uniwersalnego systemu praw człowieka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- Powszechna deklaracja praw człowieka (10.12.1948), podpisana na III sesji Zgromadzenia Ogólnego ONZ w Paryżu, pierwszy ogólnoświatowy zbiór praw i wolności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- Międzynarodowy pakt praw obywatelskich i politycznych 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- Międzynarodowy pakt praw gospodarczych, społecznych i kulturalnych (1966)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Na pamiątkę jej uchwalenia 10 grudnia obchodzony jest jako </w:t>
      </w:r>
      <w:hyperlink r:id="rId6" w:tooltip="Dzień Praw Człowieka" w:history="1">
        <w:r w:rsidRPr="000A4AA5">
          <w:rPr>
            <w:rStyle w:val="Hipercze"/>
            <w:rFonts w:cstheme="minorHAnsi"/>
            <w:color w:val="auto"/>
            <w:u w:val="none"/>
          </w:rPr>
          <w:t>Dzień Praw Człowieka</w:t>
        </w:r>
      </w:hyperlink>
      <w:r w:rsidRPr="000A4AA5">
        <w:rPr>
          <w:rFonts w:cstheme="minorHAnsi"/>
        </w:rPr>
        <w:t xml:space="preserve">, zaś dla uczczenia 20 rocznicy tego wydarzenia ogłoszono rok 1968 jako </w:t>
      </w:r>
      <w:hyperlink r:id="rId7" w:tooltip="Międzynarodowy Rok Praw Człowieka" w:history="1">
        <w:r w:rsidRPr="000A4AA5">
          <w:rPr>
            <w:rStyle w:val="Hipercze"/>
            <w:rFonts w:cstheme="minorHAnsi"/>
            <w:color w:val="auto"/>
            <w:u w:val="none"/>
          </w:rPr>
          <w:t>Międzynarodowy Rok Praw Człowieka</w:t>
        </w:r>
      </w:hyperlink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Rok 2009 ogłoszono Rokiem Nauczania o Prawach Człowieka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noProof/>
          <w:lang w:eastAsia="pl-PL"/>
        </w:rPr>
        <w:lastRenderedPageBreak/>
        <w:drawing>
          <wp:inline distT="0" distB="0" distL="0" distR="0" wp14:anchorId="19F7652C" wp14:editId="42F0F6C4">
            <wp:extent cx="5372100" cy="3370904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7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noProof/>
          <w:color w:val="444444"/>
          <w:lang w:eastAsia="pl-PL"/>
        </w:rPr>
        <w:drawing>
          <wp:inline distT="0" distB="0" distL="0" distR="0" wp14:anchorId="3137965E" wp14:editId="3C9073D5">
            <wp:extent cx="3076575" cy="4236700"/>
            <wp:effectExtent l="19050" t="0" r="9525" b="0"/>
            <wp:docPr id="1" name="Obraz 1" descr="http://content.epodreczniki.pl/content/womi/223258/classic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epodreczniki.pl/content/womi/223258/classic-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1" cy="42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Król Jan podpisuje Wielką Kartę Swobód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noProof/>
          <w:color w:val="000000"/>
          <w:lang w:eastAsia="pl-PL"/>
        </w:rPr>
        <w:lastRenderedPageBreak/>
        <w:drawing>
          <wp:inline distT="0" distB="0" distL="0" distR="0" wp14:anchorId="0CB88A7F" wp14:editId="1EA5F4FE">
            <wp:extent cx="2990081" cy="3933825"/>
            <wp:effectExtent l="19050" t="0" r="769" b="0"/>
            <wp:docPr id="4" name="Obraz 4" descr="Deklaracja praw człowieka i obywatela Deklaracja praw człowieka i obywatela Źródło: Deklaracja praw człowieka i obywatela, Carnavalet muzeum, licencja: CC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klaracja praw człowieka i obywatela Deklaracja praw człowieka i obywatela Źródło: Deklaracja praw człowieka i obywatela, Carnavalet muzeum, licencja: CC 0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95" cy="393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Deklaracja praw człowieka i obywatela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Deklaracja praw człowieka i obywatela</w:t>
      </w:r>
      <w:r w:rsidRPr="000A4AA5">
        <w:rPr>
          <w:rFonts w:cstheme="minorHAnsi"/>
          <w:color w:val="000000"/>
        </w:rPr>
        <w:t xml:space="preserve"> </w:t>
      </w:r>
      <w:r w:rsidRPr="000A4AA5">
        <w:rPr>
          <w:rFonts w:cstheme="minorHAnsi"/>
        </w:rPr>
        <w:t xml:space="preserve">nie obejmowała prawami człowieka kobiet. Dlatego w 1791 r. francuska prekursorka feminizmu, Olimpia de </w:t>
      </w:r>
      <w:proofErr w:type="spellStart"/>
      <w:r w:rsidRPr="000A4AA5">
        <w:rPr>
          <w:rFonts w:cstheme="minorHAnsi"/>
        </w:rPr>
        <w:t>Gouges</w:t>
      </w:r>
      <w:proofErr w:type="spellEnd"/>
      <w:r w:rsidRPr="000A4AA5">
        <w:rPr>
          <w:rFonts w:cstheme="minorHAnsi"/>
        </w:rPr>
        <w:t>, opublikowała Deklarację praw kobiety i obywatelki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noProof/>
          <w:color w:val="000000"/>
          <w:lang w:eastAsia="pl-PL"/>
        </w:rPr>
        <w:drawing>
          <wp:inline distT="0" distB="0" distL="0" distR="0" wp14:anchorId="5FB4795B" wp14:editId="29A08408">
            <wp:extent cx="2200275" cy="2862650"/>
            <wp:effectExtent l="19050" t="0" r="9525" b="0"/>
            <wp:docPr id="7" name="Obraz 7" descr="Olimpia de Gouges Źródło: Aleksander Kucharski, Olimpia de Gouges, licencja: CC 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impia de Gouges Źródło: Aleksander Kucharski, Olimpia de Gouges, licencja: CC 0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12" cy="28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  <w:r w:rsidRPr="000A4AA5">
        <w:rPr>
          <w:rFonts w:cstheme="minorHAnsi"/>
        </w:rPr>
        <w:t xml:space="preserve">Olimpia de </w:t>
      </w:r>
      <w:proofErr w:type="spellStart"/>
      <w:r w:rsidRPr="000A4AA5">
        <w:rPr>
          <w:rFonts w:cstheme="minorHAnsi"/>
        </w:rPr>
        <w:t>Gouges</w:t>
      </w:r>
      <w:proofErr w:type="spellEnd"/>
    </w:p>
    <w:p w:rsidR="000A4AA5" w:rsidRPr="000A4AA5" w:rsidRDefault="000A4AA5" w:rsidP="000A4AA5">
      <w:pPr>
        <w:spacing w:after="0" w:line="240" w:lineRule="auto"/>
        <w:rPr>
          <w:rFonts w:cstheme="minorHAnsi"/>
          <w:i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  <w:r w:rsidRPr="000A4AA5">
        <w:rPr>
          <w:rFonts w:cstheme="minorHAnsi"/>
          <w:noProof/>
          <w:lang w:eastAsia="pl-PL"/>
        </w:rPr>
        <w:lastRenderedPageBreak/>
        <w:drawing>
          <wp:inline distT="0" distB="0" distL="0" distR="0" wp14:anchorId="0DF5F6EF" wp14:editId="300EE200">
            <wp:extent cx="3624423" cy="4295775"/>
            <wp:effectExtent l="19050" t="0" r="0" b="0"/>
            <wp:docPr id="12" name="Obraz 12" descr="Pierwsza karta deklar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erwsza karta deklaracj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24" cy="42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  <w:color w:val="000000"/>
        </w:rPr>
      </w:pPr>
      <w:r w:rsidRPr="000A4AA5">
        <w:rPr>
          <w:rFonts w:cstheme="minorHAnsi"/>
          <w:b/>
          <w:bCs/>
          <w:color w:val="000000"/>
        </w:rPr>
        <w:t>Deklaracja niepodległości Stanów Zjednoczonych</w:t>
      </w: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  <w:color w:val="000000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  <w:color w:val="000000"/>
        </w:rPr>
      </w:pPr>
      <w:r w:rsidRPr="000A4AA5">
        <w:rPr>
          <w:rFonts w:cstheme="minorHAnsi"/>
          <w:noProof/>
          <w:lang w:eastAsia="pl-PL"/>
        </w:rPr>
        <w:drawing>
          <wp:inline distT="0" distB="0" distL="0" distR="0" wp14:anchorId="4600F629" wp14:editId="2DF06CC5">
            <wp:extent cx="5760720" cy="3821882"/>
            <wp:effectExtent l="19050" t="0" r="0" b="0"/>
            <wp:docPr id="15" name="Obraz 15" descr="https://upload.wikimedia.org/wikipedia/commons/thumb/1/15/Declaration_independence.jpg/1280px-Declaration_indep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1/15/Declaration_independence.jpg/1280px-Declaration_independenc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  <w:color w:val="000000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Obraz ilustrujący podpisanie deklaracji niepodległości autorstwa </w:t>
      </w:r>
      <w:hyperlink r:id="rId14" w:tooltip="John Trumbull" w:history="1">
        <w:r w:rsidRPr="000A4AA5">
          <w:rPr>
            <w:rStyle w:val="Hipercze"/>
            <w:rFonts w:cstheme="minorHAnsi"/>
            <w:color w:val="auto"/>
            <w:u w:val="none"/>
          </w:rPr>
          <w:t xml:space="preserve">Johna </w:t>
        </w:r>
        <w:proofErr w:type="spellStart"/>
        <w:r w:rsidRPr="000A4AA5">
          <w:rPr>
            <w:rStyle w:val="Hipercze"/>
            <w:rFonts w:cstheme="minorHAnsi"/>
            <w:color w:val="auto"/>
            <w:u w:val="none"/>
          </w:rPr>
          <w:t>Trumbulla</w:t>
        </w:r>
        <w:proofErr w:type="spellEnd"/>
      </w:hyperlink>
      <w:r w:rsidRPr="000A4AA5">
        <w:rPr>
          <w:rFonts w:cstheme="minorHAnsi"/>
        </w:rPr>
        <w:t xml:space="preserve"> (1819)</w:t>
      </w:r>
    </w:p>
    <w:p w:rsidR="000A4AA5" w:rsidRDefault="000A4AA5" w:rsidP="000A4AA5">
      <w:pPr>
        <w:spacing w:after="0" w:line="240" w:lineRule="auto"/>
        <w:rPr>
          <w:rFonts w:cstheme="minorHAnsi"/>
          <w:i/>
        </w:rPr>
      </w:pPr>
    </w:p>
    <w:p w:rsidR="000A4AA5" w:rsidRDefault="000A4AA5" w:rsidP="000A4AA5">
      <w:pPr>
        <w:spacing w:after="0" w:line="240" w:lineRule="auto"/>
        <w:rPr>
          <w:rFonts w:cstheme="minorHAnsi"/>
          <w:i/>
        </w:rPr>
      </w:pPr>
    </w:p>
    <w:p w:rsidR="000A4AA5" w:rsidRDefault="000A4AA5" w:rsidP="000A4AA5">
      <w:pPr>
        <w:spacing w:after="0" w:line="240" w:lineRule="auto"/>
        <w:rPr>
          <w:rFonts w:cstheme="minorHAnsi"/>
          <w:i/>
        </w:rPr>
      </w:pPr>
    </w:p>
    <w:p w:rsidR="000A4AA5" w:rsidRDefault="000A4AA5" w:rsidP="000A4AA5">
      <w:pPr>
        <w:spacing w:after="0" w:line="240" w:lineRule="auto"/>
        <w:rPr>
          <w:rFonts w:cstheme="minorHAnsi"/>
          <w:i/>
        </w:rPr>
      </w:pPr>
    </w:p>
    <w:p w:rsidR="000A4AA5" w:rsidRDefault="000A4AA5" w:rsidP="000A4AA5">
      <w:pPr>
        <w:spacing w:after="0" w:line="240" w:lineRule="auto"/>
        <w:rPr>
          <w:rFonts w:cstheme="minorHAnsi"/>
          <w:i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/>
        </w:rPr>
      </w:pPr>
      <w:r w:rsidRPr="000A4AA5">
        <w:rPr>
          <w:rFonts w:cstheme="minorHAnsi"/>
          <w:i/>
        </w:rPr>
        <w:lastRenderedPageBreak/>
        <w:t>Fragment deklaracji</w:t>
      </w:r>
      <w:r w:rsidRPr="000A4AA5">
        <w:rPr>
          <w:i/>
          <w:color w:val="000000"/>
        </w:rPr>
        <w:t xml:space="preserve"> </w:t>
      </w:r>
      <w:r w:rsidRPr="000A4AA5">
        <w:rPr>
          <w:i/>
          <w:color w:val="000000"/>
        </w:rPr>
        <w:t>niepodległości Stanów Zjednoczonych</w:t>
      </w: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  <w:r w:rsidRPr="000A4AA5">
        <w:rPr>
          <w:rFonts w:cstheme="minorHAnsi"/>
          <w:iCs/>
        </w:rPr>
        <w:t>Uważamy następujące prawdy za oczywiste: że wszyscy ludzie stworzeni są równymi, że Stwórca obdarzył ich pewnymi nienaruszalnymi prawami, że w skład tych praw wchodzi prawo do życia, wolność i dążenia do szczęścia.</w:t>
      </w: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  <w:r w:rsidRPr="000A4AA5">
        <w:rPr>
          <w:rFonts w:cstheme="minorHAnsi"/>
          <w:iCs/>
        </w:rPr>
        <w:t>Że celem zabezpieczenia tych praw wyłonione zostały wśród ludzi rządy, których sprawiedliwa władza wywodzi się ze zgody rządzonych.</w:t>
      </w: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iCs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i/>
          <w:iCs/>
        </w:rPr>
        <w:t>Rozwój praw człowieka możemy podzielić na trzy etapy:</w:t>
      </w:r>
      <w:r w:rsidRPr="000A4AA5">
        <w:rPr>
          <w:rFonts w:cstheme="minorHAnsi"/>
        </w:rPr>
        <w:t xml:space="preserve"> </w:t>
      </w:r>
    </w:p>
    <w:p w:rsidR="000A4AA5" w:rsidRPr="000A4AA5" w:rsidRDefault="000A4AA5" w:rsidP="000A4AA5">
      <w:pPr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 xml:space="preserve"> 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Od starożytności do XVIII wieku – w tym okresie prawa rozpatrywano w kontekście przynależności grupowej. Prawa i wolności przysługiwały tylko jednostkom przynależącym do grup uprzywilejowanych i nadawała je bądź odbierała władza.</w:t>
      </w:r>
    </w:p>
    <w:p w:rsidR="000A4AA5" w:rsidRPr="000A4AA5" w:rsidRDefault="000A4AA5" w:rsidP="000A4AA5">
      <w:pPr>
        <w:numPr>
          <w:ilvl w:val="0"/>
          <w:numId w:val="1"/>
        </w:num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Od XVIII wieku do 1945 r. – uzasadnieniem dla praw i wolności stał się sam fakt bycia człowiekiem. W tym okresie rozwinęła się koncepcja praw indywidualnych, rozpoczęła się też kodyfikacja praw człowieka i rozwój instytucji stojących na ich straży.</w:t>
      </w:r>
    </w:p>
    <w:p w:rsidR="000A4AA5" w:rsidRPr="000A4AA5" w:rsidRDefault="000A4AA5" w:rsidP="000A4AA5">
      <w:pPr>
        <w:numPr>
          <w:ilvl w:val="0"/>
          <w:numId w:val="1"/>
        </w:num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</w:rPr>
        <w:t>Od 1945 r. – prawa człowieka stały się powszechne i objęły cały glob. Rozpoczął się proces kodyfikacji prawa międzynarodowego w dziedzinie praw człowieka. W konsekwencji pojawiły się międzynarodowe systemy ochrony praw człowieka i liczne międzynarodowe mechanizmy ich ochrony.</w:t>
      </w: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  <w:r w:rsidRPr="000A4AA5">
        <w:rPr>
          <w:rFonts w:cstheme="minorHAnsi"/>
          <w:i/>
        </w:rPr>
        <w:t>Fragment</w:t>
      </w:r>
      <w:r w:rsidRPr="000A4AA5">
        <w:rPr>
          <w:rFonts w:cstheme="minorHAnsi"/>
          <w:i/>
          <w:iCs/>
        </w:rPr>
        <w:t xml:space="preserve"> </w:t>
      </w:r>
      <w:r w:rsidRPr="000A4AA5">
        <w:rPr>
          <w:rFonts w:cstheme="minorHAnsi"/>
          <w:i/>
          <w:iCs/>
        </w:rPr>
        <w:t>Powszechn</w:t>
      </w:r>
      <w:r>
        <w:rPr>
          <w:rFonts w:cstheme="minorHAnsi"/>
          <w:i/>
          <w:iCs/>
        </w:rPr>
        <w:t>ej</w:t>
      </w:r>
      <w:r w:rsidRPr="000A4AA5">
        <w:rPr>
          <w:rFonts w:cstheme="minorHAnsi"/>
          <w:i/>
          <w:iCs/>
        </w:rPr>
        <w:t xml:space="preserve"> deklaracj</w:t>
      </w:r>
      <w:r>
        <w:rPr>
          <w:rFonts w:cstheme="minorHAnsi"/>
          <w:i/>
          <w:iCs/>
        </w:rPr>
        <w:t>i</w:t>
      </w:r>
      <w:r w:rsidRPr="000A4AA5">
        <w:rPr>
          <w:rFonts w:cstheme="minorHAnsi"/>
          <w:i/>
          <w:iCs/>
        </w:rPr>
        <w:t xml:space="preserve"> praw człowieka</w:t>
      </w:r>
      <w:r w:rsidRPr="000A4AA5">
        <w:rPr>
          <w:rFonts w:cstheme="minorHAnsi"/>
        </w:rPr>
        <w:br/>
        <w:t>Art. 1</w:t>
      </w:r>
      <w:r w:rsidRPr="000A4AA5">
        <w:rPr>
          <w:rFonts w:cstheme="minorHAnsi"/>
        </w:rPr>
        <w:br/>
        <w:t>Wszyscy ludzie rodzą się wolni i równi pod względem swej godności i swych praw. Są oni obdarzeni rozumem i sumieniem oraz powinni postępować w stosunku do siebie wzajemnie w duchu braterstwa.</w:t>
      </w:r>
    </w:p>
    <w:p w:rsid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0A4AA5" w:rsidRDefault="000A4AA5" w:rsidP="000A4AA5">
      <w:pPr>
        <w:spacing w:after="0" w:line="240" w:lineRule="auto"/>
        <w:rPr>
          <w:rFonts w:cstheme="minorHAnsi"/>
          <w:b/>
          <w:bCs/>
        </w:rPr>
      </w:pPr>
      <w:r w:rsidRPr="000A4AA5">
        <w:rPr>
          <w:rFonts w:cstheme="minorHAnsi"/>
          <w:b/>
          <w:bCs/>
        </w:rPr>
        <w:t>Ćwiczenia do rozdziału:</w:t>
      </w:r>
    </w:p>
    <w:p w:rsidR="000A4AA5" w:rsidRDefault="000A4AA5" w:rsidP="000A4AA5">
      <w:pPr>
        <w:spacing w:after="0" w:line="240" w:lineRule="auto"/>
        <w:rPr>
          <w:rFonts w:cstheme="minorHAnsi"/>
        </w:rPr>
      </w:pPr>
    </w:p>
    <w:p w:rsidR="000A4AA5" w:rsidRPr="00D82440" w:rsidRDefault="000A4AA5" w:rsidP="000A4AA5">
      <w:pPr>
        <w:pStyle w:val="Akapitzlist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30"/>
        <w:rPr>
          <w:rFonts w:asciiTheme="minorHAnsi" w:hAnsiTheme="minorHAnsi" w:cstheme="minorHAnsi"/>
          <w:bCs/>
        </w:rPr>
      </w:pPr>
      <w:r w:rsidRPr="00D82440">
        <w:rPr>
          <w:rFonts w:asciiTheme="minorHAnsi" w:hAnsiTheme="minorHAnsi" w:cstheme="minorHAnsi"/>
          <w:bCs/>
          <w:color w:val="231F20"/>
        </w:rPr>
        <w:t>Wpisz w tabelę odpowiednią cechę praw człowieka</w:t>
      </w:r>
      <w:r>
        <w:rPr>
          <w:rFonts w:asciiTheme="minorHAnsi" w:hAnsiTheme="minorHAnsi" w:cstheme="minorHAnsi"/>
          <w:bCs/>
          <w:color w:val="231F20"/>
        </w:rPr>
        <w:t>.</w:t>
      </w:r>
    </w:p>
    <w:p w:rsidR="000A4AA5" w:rsidRPr="00D82440" w:rsidRDefault="000A4AA5" w:rsidP="000A4AA5">
      <w:pPr>
        <w:pStyle w:val="Akapitzlist1"/>
        <w:autoSpaceDE w:val="0"/>
        <w:autoSpaceDN w:val="0"/>
        <w:adjustRightInd w:val="0"/>
        <w:spacing w:after="0" w:line="240" w:lineRule="auto"/>
        <w:ind w:left="330"/>
        <w:rPr>
          <w:rFonts w:asciiTheme="minorHAnsi" w:hAnsiTheme="minorHAnsi" w:cstheme="minorHAnsi"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7796"/>
      </w:tblGrid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  <w:i/>
                <w:iCs/>
              </w:rPr>
              <w:t>Charakter praw i wolności</w:t>
            </w: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  <w:i/>
                <w:iCs/>
              </w:rPr>
              <w:t>Znaczenie</w:t>
            </w:r>
          </w:p>
        </w:tc>
      </w:tr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</w:rPr>
              <w:t>przysługują każdemu od chwili urodzenia, nie wynikają z woli państwa, a wywodzone są z istoty człowieczeństwa; państwo ich nie nadaje, a jedynie potwierdza</w:t>
            </w:r>
          </w:p>
        </w:tc>
      </w:tr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</w:rPr>
              <w:t xml:space="preserve">przysługują każdemu człowiekowi niezależnie od rasy, płci, przynależności do danej grupy społecznej, statusu majątkowego </w:t>
            </w:r>
          </w:p>
        </w:tc>
      </w:tr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</w:rPr>
              <w:t>przypisane są do każdej jednostki ludzkiej i nie można się ich zrzec</w:t>
            </w:r>
          </w:p>
        </w:tc>
      </w:tr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</w:rPr>
              <w:t>wszystkie kategorie i generacje praw stanowią integralną i współzależną całość</w:t>
            </w:r>
          </w:p>
        </w:tc>
      </w:tr>
      <w:tr w:rsidR="000A4AA5" w:rsidRPr="00D82440" w:rsidTr="00380789">
        <w:tc>
          <w:tcPr>
            <w:tcW w:w="2660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7796" w:type="dxa"/>
          </w:tcPr>
          <w:p w:rsidR="000A4AA5" w:rsidRPr="00D82440" w:rsidRDefault="000A4AA5" w:rsidP="00380789">
            <w:pPr>
              <w:spacing w:line="240" w:lineRule="auto"/>
              <w:rPr>
                <w:rFonts w:cstheme="minorHAnsi"/>
              </w:rPr>
            </w:pPr>
            <w:r w:rsidRPr="00D82440">
              <w:rPr>
                <w:rFonts w:cstheme="minorHAnsi"/>
              </w:rPr>
              <w:t>wynikają z samej istoty człowieczeństwa – mamy je, ponieważ jesteśmy ludźmi</w:t>
            </w:r>
          </w:p>
        </w:tc>
      </w:tr>
    </w:tbl>
    <w:p w:rsidR="000A4AA5" w:rsidRPr="00D82440" w:rsidRDefault="000A4AA5" w:rsidP="000A4AA5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bCs/>
        </w:rPr>
      </w:pPr>
    </w:p>
    <w:p w:rsidR="000A4AA5" w:rsidRPr="00D82440" w:rsidRDefault="000A4AA5" w:rsidP="000A4AA5">
      <w:pPr>
        <w:pStyle w:val="Akapitzlist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</w:rPr>
      </w:pPr>
      <w:r w:rsidRPr="00D82440">
        <w:rPr>
          <w:rFonts w:asciiTheme="minorHAnsi" w:hAnsiTheme="minorHAnsi" w:cstheme="minorHAnsi"/>
          <w:bCs/>
        </w:rPr>
        <w:t xml:space="preserve">Prawa i wolności człowieka. Zdania Prawda </w:t>
      </w:r>
      <w:r w:rsidRPr="00D82440">
        <w:rPr>
          <w:rFonts w:asciiTheme="minorHAnsi" w:hAnsiTheme="minorHAnsi" w:cstheme="minorHAnsi"/>
        </w:rPr>
        <w:t xml:space="preserve">lub </w:t>
      </w:r>
      <w:r w:rsidRPr="00D82440">
        <w:rPr>
          <w:rFonts w:asciiTheme="minorHAnsi" w:hAnsiTheme="minorHAnsi" w:cstheme="minorHAnsi"/>
          <w:bCs/>
        </w:rPr>
        <w:t>Fałsz</w:t>
      </w:r>
      <w:r>
        <w:rPr>
          <w:rFonts w:asciiTheme="minorHAnsi" w:hAnsiTheme="minorHAnsi" w:cstheme="minorHAnsi"/>
          <w:bCs/>
        </w:rPr>
        <w:t>.</w:t>
      </w:r>
    </w:p>
    <w:p w:rsidR="000A4AA5" w:rsidRPr="00D82440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440">
        <w:rPr>
          <w:rFonts w:cstheme="minorHAnsi"/>
        </w:rPr>
        <w:t xml:space="preserve">A. Prawa człowieka pierwszej generacji </w:t>
      </w:r>
      <w:r>
        <w:rPr>
          <w:rFonts w:cstheme="minorHAnsi"/>
        </w:rPr>
        <w:t>nie</w:t>
      </w:r>
      <w:r w:rsidRPr="00D82440">
        <w:rPr>
          <w:rFonts w:cstheme="minorHAnsi"/>
        </w:rPr>
        <w:t xml:space="preserve"> mają charakter</w:t>
      </w:r>
      <w:r>
        <w:rPr>
          <w:rFonts w:cstheme="minorHAnsi"/>
        </w:rPr>
        <w:t>u indywidualnego</w:t>
      </w:r>
      <w:r w:rsidRPr="00D82440">
        <w:rPr>
          <w:rFonts w:cstheme="minorHAnsi"/>
        </w:rPr>
        <w:t xml:space="preserve">, czyli </w:t>
      </w:r>
      <w:r>
        <w:rPr>
          <w:rFonts w:cstheme="minorHAnsi"/>
        </w:rPr>
        <w:t>nie</w:t>
      </w:r>
      <w:r w:rsidRPr="00D82440">
        <w:rPr>
          <w:rFonts w:cstheme="minorHAnsi"/>
        </w:rPr>
        <w:t xml:space="preserve"> dotyczą jednostki</w:t>
      </w:r>
      <w:r>
        <w:rPr>
          <w:rFonts w:cstheme="minorHAnsi"/>
        </w:rPr>
        <w:t xml:space="preserve"> ale grup</w:t>
      </w:r>
      <w:r w:rsidRPr="00D82440">
        <w:rPr>
          <w:rFonts w:cstheme="minorHAnsi"/>
        </w:rPr>
        <w:t>.</w:t>
      </w:r>
    </w:p>
    <w:p w:rsidR="000A4AA5" w:rsidRPr="00D82440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440">
        <w:rPr>
          <w:rFonts w:cstheme="minorHAnsi"/>
        </w:rPr>
        <w:t>B. Prawa człowieka po raz pierwszy znalazły odzwierciedlenie w konstytucji francuskiej z 1791 r.</w:t>
      </w:r>
    </w:p>
    <w:p w:rsidR="000A4AA5" w:rsidRPr="00D82440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440">
        <w:rPr>
          <w:rFonts w:cstheme="minorHAnsi"/>
        </w:rPr>
        <w:t>C. Wszystkie prawa człowieka mają charakter niezbywalny, czyli nie można się ich zrzec na czyjąś korzyść.</w:t>
      </w:r>
    </w:p>
    <w:p w:rsidR="000A4AA5" w:rsidRPr="00D82440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82440">
        <w:rPr>
          <w:rFonts w:cstheme="minorHAnsi"/>
        </w:rPr>
        <w:t>D. Prawa człowieka są powszechne, czyli przysługują w równym stopniu wszystkim ludziom.</w:t>
      </w:r>
    </w:p>
    <w:p w:rsidR="000A4AA5" w:rsidRPr="000A4AA5" w:rsidRDefault="000A4AA5" w:rsidP="000A4AA5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3. </w:t>
      </w:r>
      <w:r w:rsidRPr="000A4AA5">
        <w:rPr>
          <w:rFonts w:asciiTheme="minorHAnsi" w:hAnsiTheme="minorHAnsi" w:cstheme="minorHAnsi"/>
        </w:rPr>
        <w:t xml:space="preserve">Poniżej wymienione prawa człowieka wpisz w tabelę, przyporządkowując je odpowiedniej generacji </w:t>
      </w:r>
    </w:p>
    <w:p w:rsidR="000A4AA5" w:rsidRPr="000A4AA5" w:rsidRDefault="000A4AA5" w:rsidP="000A4AA5">
      <w:pPr>
        <w:pStyle w:val="Akapitzlist1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theme="minorHAnsi"/>
          <w:b/>
          <w:bCs/>
        </w:rPr>
      </w:pPr>
    </w:p>
    <w:p w:rsidR="000A4AA5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0A4AA5">
        <w:rPr>
          <w:rFonts w:cstheme="minorHAnsi"/>
          <w:i/>
          <w:iCs/>
        </w:rPr>
        <w:t>prawo do rozwoju, prawo do sądu, prawo do życia w pokoju, prawo do wynagrodzeń, prawo do urlopu i wypoczynku, prawo do własności, prawo do bezpiecznej i zdrowej żywności, prawo do wolnych związków zawodowych, prawo do nauki, prawo do zdrowego środowiska naturalnego, prawo do wolności, prawo do ochrony zdrowia, prawo do korzystania z dóbr kultury, prawo do życia, prawo do ubezpieczeń zdrowotnych</w:t>
      </w:r>
    </w:p>
    <w:p w:rsidR="000A4AA5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p w:rsidR="000A4AA5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5"/>
        <w:gridCol w:w="3485"/>
        <w:gridCol w:w="3486"/>
      </w:tblGrid>
      <w:tr w:rsidR="000A4AA5" w:rsidRPr="00D82440" w:rsidTr="00380789">
        <w:tc>
          <w:tcPr>
            <w:tcW w:w="3535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  <w:r w:rsidRPr="00D82440">
              <w:rPr>
                <w:rFonts w:cstheme="minorHAnsi"/>
                <w:bCs/>
              </w:rPr>
              <w:t>Prawa I generacji</w:t>
            </w:r>
          </w:p>
        </w:tc>
        <w:tc>
          <w:tcPr>
            <w:tcW w:w="3535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  <w:r w:rsidRPr="00D82440">
              <w:rPr>
                <w:rFonts w:cstheme="minorHAnsi"/>
                <w:bCs/>
              </w:rPr>
              <w:t>Prawa II generacji</w:t>
            </w:r>
          </w:p>
        </w:tc>
        <w:tc>
          <w:tcPr>
            <w:tcW w:w="3536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  <w:r w:rsidRPr="00D82440">
              <w:rPr>
                <w:rFonts w:cstheme="minorHAnsi"/>
                <w:bCs/>
              </w:rPr>
              <w:t>Prawa III generacji</w:t>
            </w:r>
          </w:p>
        </w:tc>
      </w:tr>
      <w:tr w:rsidR="000A4AA5" w:rsidRPr="00D82440" w:rsidTr="00380789">
        <w:tc>
          <w:tcPr>
            <w:tcW w:w="3535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535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536" w:type="dxa"/>
          </w:tcPr>
          <w:p w:rsidR="000A4AA5" w:rsidRPr="00D82440" w:rsidRDefault="000A4AA5" w:rsidP="00380789">
            <w:pPr>
              <w:spacing w:after="0" w:line="240" w:lineRule="auto"/>
              <w:rPr>
                <w:rFonts w:cstheme="minorHAnsi"/>
                <w:bCs/>
              </w:rPr>
            </w:pPr>
          </w:p>
        </w:tc>
      </w:tr>
    </w:tbl>
    <w:p w:rsidR="000A4AA5" w:rsidRPr="000A4AA5" w:rsidRDefault="000A4AA5" w:rsidP="000A4AA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sectPr w:rsidR="000A4AA5" w:rsidRPr="000A4AA5" w:rsidSect="000A4A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4743B4"/>
    <w:multiLevelType w:val="hybridMultilevel"/>
    <w:tmpl w:val="D050424C"/>
    <w:lvl w:ilvl="0" w:tplc="0415000F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87A241A"/>
    <w:multiLevelType w:val="multilevel"/>
    <w:tmpl w:val="70FAB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AA5"/>
    <w:rsid w:val="000A4AA5"/>
    <w:rsid w:val="000E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98E4A"/>
  <w15:chartTrackingRefBased/>
  <w15:docId w15:val="{26C980ED-F0A5-4723-89A7-8B7E50E1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4AA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A4A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0A4AA5"/>
    <w:rPr>
      <w:color w:val="0000FF"/>
      <w:u w:val="single"/>
    </w:rPr>
  </w:style>
  <w:style w:type="paragraph" w:customStyle="1" w:styleId="Akapitzlist1">
    <w:name w:val="Akapit z listą1"/>
    <w:basedOn w:val="Normalny"/>
    <w:rsid w:val="000A4AA5"/>
    <w:pPr>
      <w:spacing w:line="720" w:lineRule="auto"/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pl.wikipedia.org/wiki/Mi%C4%99dzynarodowy_Rok_Praw_Cz%C5%82owieka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l.wikipedia.org/wiki/Dzie%C5%84_Praw_Cz%C5%82owiek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l.wikipedia.org/wiki/John_Trumbul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D09CA-2494-4434-9A70-283FFEC9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857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2020-03-17T13:03:00Z</dcterms:created>
  <dcterms:modified xsi:type="dcterms:W3CDTF">2020-03-17T13:15:00Z</dcterms:modified>
</cp:coreProperties>
</file>